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557"/>
        <w:gridCol w:w="10"/>
        <w:gridCol w:w="4801"/>
        <w:gridCol w:w="10"/>
        <w:gridCol w:w="5235"/>
        <w:gridCol w:w="10"/>
        <w:gridCol w:w="150"/>
        <w:gridCol w:w="10"/>
      </w:tblGrid>
      <w:tr w:rsidR="00500888" w14:paraId="2BC28B16" w14:textId="77777777" w:rsidTr="0022186F">
        <w:trPr>
          <w:gridAfter w:val="3"/>
          <w:wAfter w:w="170" w:type="dxa"/>
          <w:trHeight w:val="450"/>
        </w:trPr>
        <w:tc>
          <w:tcPr>
            <w:tcW w:w="106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500888" w14:paraId="76264BBC" w14:textId="77777777" w:rsidTr="0022186F">
        <w:trPr>
          <w:gridAfter w:val="1"/>
          <w:wAfter w:w="10" w:type="dxa"/>
          <w:trHeight w:val="450"/>
        </w:trPr>
        <w:tc>
          <w:tcPr>
            <w:tcW w:w="106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22186F">
        <w:trPr>
          <w:gridAfter w:val="1"/>
          <w:wAfter w:w="10" w:type="dxa"/>
          <w:trHeight w:val="6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68B52D5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22186F">
        <w:trPr>
          <w:gridAfter w:val="1"/>
          <w:wAfter w:w="10" w:type="dxa"/>
          <w:trHeight w:val="375"/>
        </w:trPr>
        <w:tc>
          <w:tcPr>
            <w:tcW w:w="106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gridSpan w:val="2"/>
            <w:vAlign w:val="center"/>
          </w:tcPr>
          <w:p w14:paraId="307F1D4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22186F">
        <w:trPr>
          <w:gridAfter w:val="1"/>
          <w:wAfter w:w="10" w:type="dxa"/>
          <w:trHeight w:val="375"/>
        </w:trPr>
        <w:tc>
          <w:tcPr>
            <w:tcW w:w="106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22186F">
        <w:trPr>
          <w:gridAfter w:val="1"/>
          <w:wAfter w:w="10" w:type="dxa"/>
          <w:trHeight w:val="9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06DD4B8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22186F">
        <w:trPr>
          <w:gridAfter w:val="1"/>
          <w:wAfter w:w="10" w:type="dxa"/>
          <w:trHeight w:val="34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7553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gridSpan w:val="2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gridSpan w:val="2"/>
            <w:vAlign w:val="center"/>
          </w:tcPr>
          <w:p w14:paraId="053F9C5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22186F">
        <w:trPr>
          <w:gridAfter w:val="1"/>
          <w:wAfter w:w="10" w:type="dxa"/>
          <w:trHeight w:val="34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gridSpan w:val="2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gridSpan w:val="2"/>
            <w:vAlign w:val="center"/>
          </w:tcPr>
          <w:p w14:paraId="0E88D2E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22186F">
        <w:trPr>
          <w:gridAfter w:val="1"/>
          <w:wAfter w:w="10" w:type="dxa"/>
          <w:trHeight w:val="40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4C7A0D7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22186F">
        <w:trPr>
          <w:gridAfter w:val="1"/>
          <w:wAfter w:w="10" w:type="dxa"/>
          <w:trHeight w:val="51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7553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ECC9CD6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</w:p>
        </w:tc>
        <w:tc>
          <w:tcPr>
            <w:tcW w:w="160" w:type="dxa"/>
            <w:gridSpan w:val="2"/>
            <w:vAlign w:val="center"/>
          </w:tcPr>
          <w:p w14:paraId="2B4772A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22186F">
        <w:trPr>
          <w:gridAfter w:val="1"/>
          <w:wAfter w:w="10" w:type="dxa"/>
          <w:trHeight w:val="315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7553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60202D68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Attila</w:t>
            </w:r>
          </w:p>
        </w:tc>
        <w:tc>
          <w:tcPr>
            <w:tcW w:w="160" w:type="dxa"/>
            <w:gridSpan w:val="2"/>
            <w:vAlign w:val="center"/>
          </w:tcPr>
          <w:p w14:paraId="352D59B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22186F">
        <w:trPr>
          <w:gridAfter w:val="1"/>
          <w:wAfter w:w="10" w:type="dxa"/>
          <w:trHeight w:val="559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7553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5FCB2B6" w:rsidR="00500888" w:rsidRPr="007E1DDE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 </w:t>
            </w:r>
            <w:r w:rsid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 CSc.</w:t>
            </w:r>
          </w:p>
        </w:tc>
        <w:tc>
          <w:tcPr>
            <w:tcW w:w="160" w:type="dxa"/>
            <w:gridSpan w:val="2"/>
            <w:vAlign w:val="center"/>
          </w:tcPr>
          <w:p w14:paraId="2C190B9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22186F">
        <w:trPr>
          <w:gridAfter w:val="1"/>
          <w:wAfter w:w="10" w:type="dxa"/>
          <w:trHeight w:val="66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7553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61D049" w14:textId="0161724E" w:rsidR="00964E8F" w:rsidRDefault="007553E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9" w:history="1">
              <w:r w:rsidR="00964E8F" w:rsidRPr="00C8198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https://www.portalvs.sk/regzam/detail/27117?mode=full</w:t>
              </w:r>
            </w:hyperlink>
          </w:p>
          <w:p w14:paraId="01D8C351" w14:textId="77777777" w:rsidR="00964E8F" w:rsidRDefault="00964E8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D602818" w14:textId="76904262" w:rsidR="00500888" w:rsidRPr="005B40FD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7CEF092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22186F">
        <w:trPr>
          <w:gridAfter w:val="1"/>
          <w:wAfter w:w="10" w:type="dxa"/>
          <w:trHeight w:val="30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7553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B8B56E" w14:textId="7501B9C3" w:rsidR="00500888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Verejné zdravotníctvo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 a III.</w:t>
            </w:r>
            <w:r w:rsidR="005008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. II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7553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egree</w:t>
            </w:r>
            <w:proofErr w:type="spellEnd"/>
          </w:p>
          <w:p w14:paraId="3598CFE1" w14:textId="5E406713" w:rsidR="00CF1184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Laboratórne vyšetrovacie metódy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 a III.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 w:rsidR="00C87F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="00C87F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87F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Technology</w:t>
            </w:r>
            <w:proofErr w:type="spellEnd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.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7553E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gridSpan w:val="2"/>
            <w:vAlign w:val="center"/>
          </w:tcPr>
          <w:p w14:paraId="426BBD2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22186F">
        <w:trPr>
          <w:gridAfter w:val="1"/>
          <w:wAfter w:w="10" w:type="dxa"/>
          <w:trHeight w:val="972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7553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36F30690" w:rsidR="00500888" w:rsidRPr="00233BF3" w:rsidRDefault="001D22E5" w:rsidP="00862380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Vedecký výstup /</w:t>
            </w:r>
            <w:r w:rsidRPr="00233B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scientific</w:t>
            </w:r>
            <w:proofErr w:type="spellEnd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gridSpan w:val="2"/>
            <w:vAlign w:val="center"/>
          </w:tcPr>
          <w:p w14:paraId="62B40E1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22186F">
        <w:trPr>
          <w:gridAfter w:val="1"/>
          <w:wAfter w:w="10" w:type="dxa"/>
          <w:trHeight w:val="51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38B21C7A" w:rsidR="00500888" w:rsidRDefault="001655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19</w:t>
            </w:r>
          </w:p>
        </w:tc>
        <w:tc>
          <w:tcPr>
            <w:tcW w:w="160" w:type="dxa"/>
            <w:gridSpan w:val="2"/>
            <w:vAlign w:val="center"/>
          </w:tcPr>
          <w:p w14:paraId="3E473B5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22186F">
        <w:trPr>
          <w:gridAfter w:val="1"/>
          <w:wAfter w:w="10" w:type="dxa"/>
          <w:trHeight w:val="66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7553EE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283ABBAB" w:rsidR="00500888" w:rsidRPr="00233BF3" w:rsidRDefault="001655DD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932EE2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 xml:space="preserve">ID: </w:t>
            </w:r>
            <w:r w:rsidR="00084FD3">
              <w:rPr>
                <w:rFonts w:eastAsia="Times New Roman" w:cstheme="minorHAnsi"/>
                <w:color w:val="333333"/>
                <w:sz w:val="16"/>
                <w:szCs w:val="16"/>
                <w:lang w:eastAsia="sk-SK"/>
              </w:rPr>
              <w:t>165984</w:t>
            </w:r>
          </w:p>
        </w:tc>
        <w:tc>
          <w:tcPr>
            <w:tcW w:w="160" w:type="dxa"/>
            <w:gridSpan w:val="2"/>
            <w:vAlign w:val="center"/>
          </w:tcPr>
          <w:p w14:paraId="2DC8D703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2186F" w14:paraId="5F68FDD9" w14:textId="77777777" w:rsidTr="0022186F">
        <w:trPr>
          <w:gridBefore w:val="1"/>
          <w:wBefore w:w="10" w:type="dxa"/>
          <w:trHeight w:val="525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470FAC4" w14:textId="77777777" w:rsidR="0022186F" w:rsidRDefault="007553EE" w:rsidP="004C48F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2186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511DFF" w14:textId="27181775" w:rsidR="0022186F" w:rsidRPr="00E31F09" w:rsidRDefault="007553EE" w:rsidP="004C48F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history="1">
              <w:r w:rsidR="00D37464" w:rsidRPr="00746FDE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https://app.crepc.sk/?fn=detailBiblioForm&amp;sid=2DE4D0DBB221E90D1D8E92A8D8</w:t>
              </w:r>
            </w:hyperlink>
          </w:p>
        </w:tc>
        <w:tc>
          <w:tcPr>
            <w:tcW w:w="160" w:type="dxa"/>
            <w:gridSpan w:val="2"/>
            <w:vAlign w:val="center"/>
          </w:tcPr>
          <w:p w14:paraId="0BF8B5F4" w14:textId="77777777" w:rsidR="0022186F" w:rsidRDefault="0022186F" w:rsidP="004C4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2186F" w14:paraId="7AFC5FDA" w14:textId="77777777" w:rsidTr="0022186F">
        <w:trPr>
          <w:gridBefore w:val="1"/>
          <w:wBefore w:w="10" w:type="dxa"/>
          <w:trHeight w:val="106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59DF4E1D" w14:textId="77777777" w:rsidR="0022186F" w:rsidRDefault="0022186F" w:rsidP="004C48F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C49808" w14:textId="77777777" w:rsidR="0022186F" w:rsidRDefault="007553EE" w:rsidP="004C48F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2186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096185" w14:textId="10F0929A" w:rsidR="0022186F" w:rsidRPr="00E31F09" w:rsidRDefault="005B37DF" w:rsidP="004C48F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B37DF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https://www.amazon.de/Modellbildung-Medizinischen-Versorgungszentren-Gesichtspunkten-Rights-Theorie/dp/3339112622/</w:t>
            </w:r>
            <w:r w:rsidR="0022186F">
              <w:rPr>
                <w:rFonts w:ascii="Segoe UI" w:hAnsi="Segoe UI" w:cs="Segoe UI"/>
                <w:color w:val="242424"/>
                <w:shd w:val="clear" w:color="auto" w:fill="FFFFFF"/>
              </w:rPr>
              <w:t> </w:t>
            </w:r>
          </w:p>
        </w:tc>
        <w:tc>
          <w:tcPr>
            <w:tcW w:w="160" w:type="dxa"/>
            <w:gridSpan w:val="2"/>
            <w:vAlign w:val="center"/>
          </w:tcPr>
          <w:p w14:paraId="45EEF366" w14:textId="77777777" w:rsidR="0022186F" w:rsidRDefault="0022186F" w:rsidP="004C4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2186F" w14:paraId="7FA37AC8" w14:textId="77777777" w:rsidTr="0022186F">
        <w:trPr>
          <w:gridBefore w:val="1"/>
          <w:wBefore w:w="10" w:type="dxa"/>
          <w:trHeight w:val="1515"/>
        </w:trPr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F61931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2315554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A339E7" w14:textId="77777777" w:rsidR="0022186F" w:rsidRDefault="0022186F" w:rsidP="004C48F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</w:pPr>
          </w:p>
          <w:p w14:paraId="45F12A36" w14:textId="77777777" w:rsidR="0022186F" w:rsidRPr="00084FD3" w:rsidRDefault="0022186F" w:rsidP="004C48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Modellbildung</w:t>
            </w:r>
            <w:proofErr w:type="spellEnd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bei</w:t>
            </w:r>
            <w:proofErr w:type="spellEnd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den</w:t>
            </w:r>
            <w:proofErr w:type="spellEnd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drei</w:t>
            </w:r>
            <w:proofErr w:type="spellEnd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Typen</w:t>
            </w:r>
            <w:proofErr w:type="spellEnd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von </w:t>
            </w:r>
            <w:proofErr w:type="spellStart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Medizinischen</w:t>
            </w:r>
            <w:proofErr w:type="spellEnd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Versorgungszentren</w:t>
            </w:r>
            <w:proofErr w:type="spellEnd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unter</w:t>
            </w:r>
            <w:proofErr w:type="spellEnd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Gesichtspunkten</w:t>
            </w:r>
            <w:proofErr w:type="spellEnd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der </w:t>
            </w:r>
            <w:proofErr w:type="spellStart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Property</w:t>
            </w:r>
            <w:proofErr w:type="spellEnd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Rights-Theorie</w:t>
            </w:r>
            <w:proofErr w:type="spellEnd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[textový dokument (</w:t>
            </w:r>
            <w:proofErr w:type="spellStart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)] : </w:t>
            </w:r>
            <w:proofErr w:type="spellStart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Eine</w:t>
            </w:r>
            <w:proofErr w:type="spellEnd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institutionsokonomische</w:t>
            </w:r>
            <w:proofErr w:type="spellEnd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Betrachtung</w:t>
            </w:r>
            <w:proofErr w:type="spellEnd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Renger</w:t>
            </w:r>
            <w:proofErr w:type="spellEnd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Fabian</w:t>
            </w:r>
            <w:proofErr w:type="spellEnd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[Autor, 50%] ; </w:t>
            </w:r>
            <w:proofErr w:type="spellStart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 [Autor, 50%]. – 1. vyd. – Hamburg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Nemecko</w:t>
            </w:r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 : </w:t>
            </w:r>
            <w:proofErr w:type="spellStart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Verlag</w:t>
            </w:r>
            <w:proofErr w:type="spellEnd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Dr. </w:t>
            </w:r>
            <w:proofErr w:type="spellStart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Kovač</w:t>
            </w:r>
            <w:proofErr w:type="spellEnd"/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2019. – 114 s. – [recenzované]. – ISBN 978-3-339-11262-0</w:t>
            </w:r>
          </w:p>
          <w:p w14:paraId="4FED3B8C" w14:textId="77777777" w:rsidR="0022186F" w:rsidRPr="00084FD3" w:rsidRDefault="0022186F" w:rsidP="004C48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84F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Počet všetkých autorov: </w:t>
            </w:r>
            <w:r w:rsidRP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</w:t>
            </w:r>
          </w:p>
          <w:p w14:paraId="5B125335" w14:textId="77777777" w:rsidR="0022186F" w:rsidRPr="00E31F09" w:rsidRDefault="0022186F" w:rsidP="004C48F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690F00ED" w14:textId="77777777" w:rsidR="0022186F" w:rsidRDefault="0022186F" w:rsidP="004C4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2186F" w14:paraId="2ECD1B60" w14:textId="77777777" w:rsidTr="0022186F">
        <w:trPr>
          <w:gridBefore w:val="1"/>
          <w:wBefore w:w="10" w:type="dxa"/>
          <w:trHeight w:val="1290"/>
        </w:trPr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AA4012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68BE4B" w14:textId="77777777" w:rsidR="0022186F" w:rsidRDefault="007553EE" w:rsidP="004C48F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Expl.OCA12!A1" w:history="1"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590F3A" w14:textId="77777777" w:rsidR="0022186F" w:rsidRPr="00714638" w:rsidRDefault="0022186F" w:rsidP="004C48FB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AAA </w:t>
            </w:r>
            <w:r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Zahraničná Vedecká monografia / </w:t>
            </w:r>
            <w:proofErr w:type="spellStart"/>
            <w:r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foreign</w:t>
            </w:r>
            <w:proofErr w:type="spellEnd"/>
            <w:r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146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monography</w:t>
            </w:r>
            <w:proofErr w:type="spellEnd"/>
          </w:p>
        </w:tc>
        <w:tc>
          <w:tcPr>
            <w:tcW w:w="160" w:type="dxa"/>
            <w:gridSpan w:val="2"/>
            <w:vAlign w:val="center"/>
          </w:tcPr>
          <w:p w14:paraId="2BA9DE97" w14:textId="77777777" w:rsidR="0022186F" w:rsidRDefault="0022186F" w:rsidP="004C4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2186F" w14:paraId="2BE56370" w14:textId="77777777" w:rsidTr="0022186F">
        <w:trPr>
          <w:gridBefore w:val="1"/>
          <w:wBefore w:w="10" w:type="dxa"/>
          <w:trHeight w:val="1110"/>
        </w:trPr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A00785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F4D4465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45B0AE" w14:textId="77777777" w:rsidR="0022186F" w:rsidRPr="00E31F09" w:rsidRDefault="007553EE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7" w:tgtFrame="_blank" w:history="1">
              <w:r w:rsidR="0022186F" w:rsidRPr="00C9580B">
                <w:rPr>
                  <w:rFonts w:ascii="Calibri" w:eastAsia="Times New Roman" w:hAnsi="Calibri" w:cs="Calibri"/>
                  <w:color w:val="2E74B5" w:themeColor="accent5" w:themeShade="BF"/>
                  <w:sz w:val="16"/>
                  <w:szCs w:val="16"/>
                  <w:lang w:eastAsia="sk-SK"/>
                </w:rPr>
                <w:t>https://www.verlagdrkovac.de/978-3-339-12686-3.htm</w:t>
              </w:r>
            </w:hyperlink>
          </w:p>
        </w:tc>
        <w:tc>
          <w:tcPr>
            <w:tcW w:w="160" w:type="dxa"/>
            <w:gridSpan w:val="2"/>
            <w:vAlign w:val="center"/>
          </w:tcPr>
          <w:p w14:paraId="2697E2D2" w14:textId="77777777" w:rsidR="0022186F" w:rsidRDefault="0022186F" w:rsidP="004C4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2186F" w14:paraId="0D40FA69" w14:textId="77777777" w:rsidTr="0022186F">
        <w:trPr>
          <w:gridBefore w:val="1"/>
          <w:wBefore w:w="10" w:type="dxa"/>
          <w:trHeight w:val="765"/>
        </w:trPr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248EAA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781D479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0C8BA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Attila 50 %/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author´ś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 50%</w:t>
            </w:r>
          </w:p>
        </w:tc>
        <w:tc>
          <w:tcPr>
            <w:tcW w:w="160" w:type="dxa"/>
            <w:gridSpan w:val="2"/>
            <w:vAlign w:val="center"/>
          </w:tcPr>
          <w:p w14:paraId="70E145D5" w14:textId="77777777" w:rsidR="0022186F" w:rsidRDefault="0022186F" w:rsidP="004C4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2186F" w14:paraId="1B19CA2C" w14:textId="77777777" w:rsidTr="0022186F">
        <w:trPr>
          <w:gridBefore w:val="1"/>
          <w:wBefore w:w="10" w:type="dxa"/>
          <w:trHeight w:val="1405"/>
        </w:trPr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D355B4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68B9FC7" w14:textId="77777777" w:rsidR="0022186F" w:rsidRDefault="007553EE" w:rsidP="004C48F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2186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7D506A" w14:textId="34D5763D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3382B20C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37F55166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monograph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analyses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effects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Property-Rights-Theory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regarding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three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types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Medical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Care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Centres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Germany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developing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business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models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authors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search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scientific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solutions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upcoming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issues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context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topic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gridSpan w:val="2"/>
            <w:vAlign w:val="center"/>
          </w:tcPr>
          <w:p w14:paraId="59408421" w14:textId="77777777" w:rsidR="0022186F" w:rsidRDefault="0022186F" w:rsidP="004C4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2186F" w14:paraId="2F869944" w14:textId="77777777" w:rsidTr="0022186F">
        <w:trPr>
          <w:gridBefore w:val="1"/>
          <w:wBefore w:w="10" w:type="dxa"/>
          <w:trHeight w:val="915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76DA7D7" w14:textId="77777777" w:rsidR="0022186F" w:rsidRDefault="007553EE" w:rsidP="004C48F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2186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2186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2186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CCC33D" w14:textId="7B56831B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E6AD6B9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73BC4FB2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monograph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summarizes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results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publication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work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two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authors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regarding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institutional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economics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comparizes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these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results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with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work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other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authors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field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Public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Health</w:t>
            </w:r>
            <w:proofErr w:type="spellEnd"/>
            <w:r w:rsidRPr="00C9580B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</w:t>
            </w:r>
            <w:r w:rsidRPr="00544C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gridSpan w:val="2"/>
            <w:vAlign w:val="center"/>
          </w:tcPr>
          <w:p w14:paraId="1A4A4D5D" w14:textId="77777777" w:rsidR="0022186F" w:rsidRDefault="0022186F" w:rsidP="004C4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2186F" w14:paraId="63DF7E6D" w14:textId="77777777" w:rsidTr="0022186F">
        <w:trPr>
          <w:gridBefore w:val="1"/>
          <w:wBefore w:w="10" w:type="dxa"/>
          <w:trHeight w:val="81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9B28D2F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DF28DB" w14:textId="77777777" w:rsidR="0022186F" w:rsidRPr="00511D1D" w:rsidRDefault="0022186F" w:rsidP="0022186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[o1</w:t>
            </w:r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]</w:t>
            </w:r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vertAlign w:val="superscript"/>
                <w:lang w:eastAsia="sk-SK"/>
              </w:rPr>
              <w:t>2</w:t>
            </w:r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2020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Czirfuszová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Steinecker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M.: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pp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3-29, In: Mrázová, M.,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Renger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F.,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, A. (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Eds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.):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Global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Health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Challenges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I. Hamburg: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Verlag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Dr.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Kovac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2020, 163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pp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ISSN 2194-3753, ISBN 978-3-339-11960-5,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eISBN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978-3-339-11961-2</w:t>
            </w:r>
          </w:p>
          <w:p w14:paraId="592F18CC" w14:textId="77777777" w:rsidR="0022186F" w:rsidRPr="00511D1D" w:rsidRDefault="0022186F" w:rsidP="0022186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[o1] 2020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Steinecker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Kónyová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Z.,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Czirfuszová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M.,: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pp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143-163, In: Mrázová, M.,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Renger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F.,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, A. (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Eds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.):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Global</w:t>
            </w:r>
            <w:proofErr w:type="spellEnd"/>
            <w:r>
              <w:rPr>
                <w:noProof/>
                <w:color w:val="000000" w:themeColor="text1"/>
                <w:lang w:val="en-GB"/>
              </w:rPr>
              <w:t xml:space="preserve">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Health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Challenges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I., Hamburg: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Verlag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Dr.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Kovac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2020, 163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pp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ISSN 2194-3753, ISBN 978-3-339-11960-5,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eISBN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978-3-339-11961-2 – SCOPUS</w:t>
            </w:r>
          </w:p>
          <w:p w14:paraId="7ED72FA2" w14:textId="77777777" w:rsidR="0022186F" w:rsidRDefault="0022186F" w:rsidP="0022186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[o1] 2021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Renger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A.,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Czirfuszová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M.: pp.1-10.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Advertising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Investment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Medical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Care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Centres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Germany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In: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Journal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Nursing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&amp;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Midwifery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Research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(JNMR), status: in press, International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Open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Access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Journal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: https://manuscriptscientific.com/articles/22/journal-of-nursing-midwifery-research/1/Press -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PubMed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</w:p>
          <w:p w14:paraId="204B5EC7" w14:textId="77777777" w:rsidR="0022186F" w:rsidRPr="00511D1D" w:rsidRDefault="0022186F" w:rsidP="0022186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vertAlign w:val="superscript"/>
                <w:lang w:eastAsia="sk-SK"/>
              </w:rPr>
            </w:pPr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vertAlign w:val="superscript"/>
                <w:lang w:eastAsia="sk-SK"/>
              </w:rPr>
              <w:t>2</w:t>
            </w:r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vertAlign w:val="superscript"/>
                <w:lang w:eastAsia="sk-SK"/>
              </w:rPr>
              <w:t xml:space="preserve">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Citations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foreign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publications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cited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citation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databases</w:t>
            </w:r>
            <w:proofErr w:type="spellEnd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WOS, </w:t>
            </w:r>
            <w:proofErr w:type="spellStart"/>
            <w:r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Scopus</w:t>
            </w:r>
            <w:proofErr w:type="spellEnd"/>
          </w:p>
          <w:p w14:paraId="067FB4C4" w14:textId="77777777" w:rsidR="0022186F" w:rsidRDefault="0022186F" w:rsidP="004C48FB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6C4666B7" w14:textId="77777777" w:rsidR="0022186F" w:rsidRDefault="0022186F" w:rsidP="004C4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2186F" w14:paraId="03B2FE0B" w14:textId="77777777" w:rsidTr="0022186F">
        <w:trPr>
          <w:gridBefore w:val="1"/>
          <w:wBefore w:w="10" w:type="dxa"/>
          <w:trHeight w:val="117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00216DC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33A1AE" w14:textId="2189FCC2" w:rsidR="0022186F" w:rsidRDefault="0022186F" w:rsidP="004C48F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  <w:p w14:paraId="46CE6D0C" w14:textId="77777777" w:rsidR="0022186F" w:rsidRPr="00FE109E" w:rsidRDefault="0022186F" w:rsidP="004C48F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  <w:p w14:paraId="783A4138" w14:textId="77777777" w:rsidR="0022186F" w:rsidRPr="009C7963" w:rsidRDefault="0022186F" w:rsidP="004C48FB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monograph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focuses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Property-Rights-Theory</w:t>
            </w:r>
            <w:proofErr w:type="spellEnd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application</w:t>
            </w:r>
            <w:proofErr w:type="spellEnd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Medical</w:t>
            </w:r>
            <w:proofErr w:type="spellEnd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Care</w:t>
            </w:r>
            <w:proofErr w:type="spellEnd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Centres</w:t>
            </w:r>
            <w:proofErr w:type="spellEnd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as a new </w:t>
            </w:r>
            <w:proofErr w:type="spellStart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legal</w:t>
            </w:r>
            <w:proofErr w:type="spellEnd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form</w:t>
            </w:r>
            <w:proofErr w:type="spellEnd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medical</w:t>
            </w:r>
            <w:proofErr w:type="spellEnd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care</w:t>
            </w:r>
            <w:proofErr w:type="spellEnd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Germany</w:t>
            </w:r>
            <w:proofErr w:type="spellEnd"/>
            <w:r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. </w:t>
            </w:r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160" w:type="dxa"/>
            <w:gridSpan w:val="2"/>
            <w:vAlign w:val="center"/>
          </w:tcPr>
          <w:p w14:paraId="6DE4F5B4" w14:textId="77777777" w:rsidR="0022186F" w:rsidRDefault="0022186F" w:rsidP="004C4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2186F" w14:paraId="2B078AD8" w14:textId="77777777" w:rsidTr="0022186F">
        <w:trPr>
          <w:gridBefore w:val="1"/>
          <w:wBefore w:w="10" w:type="dxa"/>
          <w:trHeight w:val="129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4C8A505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6F6D10" w14:textId="1BB644D5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6DB7B3C9" w14:textId="77777777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3B790FF8" w14:textId="561FB6CA" w:rsidR="0022186F" w:rsidRDefault="0022186F" w:rsidP="004C48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monograph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offers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 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research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approach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and a new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research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perspective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medical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care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centres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field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Public</w:t>
            </w:r>
            <w:proofErr w:type="spellEnd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Health</w:t>
            </w:r>
            <w:proofErr w:type="spellEnd"/>
            <w:r w:rsidR="0015469E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</w:t>
            </w:r>
            <w:r w:rsidRPr="00166F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gridSpan w:val="2"/>
            <w:vAlign w:val="center"/>
          </w:tcPr>
          <w:p w14:paraId="2E6670F1" w14:textId="77777777" w:rsidR="0022186F" w:rsidRDefault="0022186F" w:rsidP="004C48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5B664A46" w14:textId="77777777" w:rsidR="0022186F" w:rsidRDefault="0022186F" w:rsidP="0022186F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panose1 w:val="02020603050405020304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888"/>
    <w:rsid w:val="00084FD3"/>
    <w:rsid w:val="000B5EA7"/>
    <w:rsid w:val="00131F27"/>
    <w:rsid w:val="0015469E"/>
    <w:rsid w:val="001655DD"/>
    <w:rsid w:val="00166F0A"/>
    <w:rsid w:val="001D22E5"/>
    <w:rsid w:val="0022186F"/>
    <w:rsid w:val="00233BF3"/>
    <w:rsid w:val="00463824"/>
    <w:rsid w:val="00500888"/>
    <w:rsid w:val="005B37DF"/>
    <w:rsid w:val="00714638"/>
    <w:rsid w:val="00726081"/>
    <w:rsid w:val="007553EE"/>
    <w:rsid w:val="008E1503"/>
    <w:rsid w:val="00964E8F"/>
    <w:rsid w:val="009A1EBB"/>
    <w:rsid w:val="00A553DE"/>
    <w:rsid w:val="00B53689"/>
    <w:rsid w:val="00C87FB2"/>
    <w:rsid w:val="00CF1184"/>
    <w:rsid w:val="00D37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64E8F"/>
    <w:rPr>
      <w:color w:val="954F72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CF11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F11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F118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11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118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www.verlagdrkovac.de/978-3-339-12686-3.htm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https://www.portalvs.sk/regzam/detail/27117?mode=full" TargetMode="External"/><Relationship Id="rId14" Type="http://schemas.openxmlformats.org/officeDocument/2006/relationships/hyperlink" Target="https://app.crepc.sk/?fn=detailBiblioForm&amp;sid=2DE4D0DBB221E90D1D8E92A8D8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1274</Words>
  <Characters>7262</Characters>
  <Application>Microsoft Office Word</Application>
  <DocSecurity>0</DocSecurity>
  <Lines>60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Iroda</cp:lastModifiedBy>
  <cp:revision>2</cp:revision>
  <cp:lastPrinted>2022-10-29T10:39:00Z</cp:lastPrinted>
  <dcterms:created xsi:type="dcterms:W3CDTF">2022-10-29T11:21:00Z</dcterms:created>
  <dcterms:modified xsi:type="dcterms:W3CDTF">2022-10-29T11:21:00Z</dcterms:modified>
</cp:coreProperties>
</file>